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20C97" w:rsidRDefault="0044607C">
      <w:pPr>
        <w:rPr>
          <w:sz w:val="40"/>
          <w:szCs w:val="40"/>
        </w:rPr>
      </w:pPr>
      <w:r>
        <w:rPr>
          <w:sz w:val="40"/>
          <w:szCs w:val="40"/>
        </w:rPr>
        <w:t>Hume Council Litter Hotspots Reporting Table</w:t>
      </w:r>
    </w:p>
    <w:p w14:paraId="00000002" w14:textId="77777777" w:rsidR="00520C97" w:rsidRDefault="0044607C">
      <w:pPr>
        <w:rPr>
          <w:sz w:val="40"/>
          <w:szCs w:val="40"/>
        </w:rPr>
      </w:pPr>
      <w:r>
        <w:rPr>
          <w:sz w:val="40"/>
          <w:szCs w:val="40"/>
        </w:rPr>
        <w:t xml:space="preserve">8 June 2021 </w:t>
      </w:r>
    </w:p>
    <w:p w14:paraId="00000003" w14:textId="77777777" w:rsidR="00520C97" w:rsidRDefault="0044607C">
      <w:pPr>
        <w:rPr>
          <w:sz w:val="24"/>
          <w:szCs w:val="24"/>
        </w:rPr>
      </w:pPr>
      <w:r>
        <w:rPr>
          <w:sz w:val="24"/>
          <w:szCs w:val="24"/>
        </w:rPr>
        <w:t xml:space="preserve">A summary document of the current projects, future projects and issues at the litter generation and litter accumulation sites in the council area. </w:t>
      </w:r>
    </w:p>
    <w:p w14:paraId="00000004" w14:textId="77777777" w:rsidR="00520C97" w:rsidRDefault="00520C97">
      <w:pPr>
        <w:spacing w:after="0" w:line="240" w:lineRule="auto"/>
        <w:rPr>
          <w:b/>
        </w:rPr>
      </w:pPr>
    </w:p>
    <w:tbl>
      <w:tblPr>
        <w:tblStyle w:val="a"/>
        <w:tblW w:w="4957"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4957"/>
      </w:tblGrid>
      <w:tr w:rsidR="00520C97" w14:paraId="384084E9" w14:textId="77777777">
        <w:tc>
          <w:tcPr>
            <w:tcW w:w="4957" w:type="dxa"/>
            <w:shd w:val="clear" w:color="auto" w:fill="C5E0B3"/>
          </w:tcPr>
          <w:p w14:paraId="00000005" w14:textId="77777777" w:rsidR="00520C97" w:rsidRDefault="0044607C">
            <w:pPr>
              <w:rPr>
                <w:rFonts w:ascii="CIDFont+F1" w:eastAsia="CIDFont+F1" w:hAnsi="CIDFont+F1" w:cs="CIDFont+F1"/>
                <w:sz w:val="20"/>
                <w:szCs w:val="20"/>
              </w:rPr>
            </w:pPr>
            <w:r>
              <w:rPr>
                <w:rFonts w:ascii="CIDFont+F1" w:eastAsia="CIDFont+F1" w:hAnsi="CIDFont+F1" w:cs="CIDFont+F1"/>
                <w:sz w:val="20"/>
                <w:szCs w:val="20"/>
              </w:rPr>
              <w:t>Education/behaviour change</w:t>
            </w:r>
          </w:p>
        </w:tc>
      </w:tr>
      <w:tr w:rsidR="00520C97" w14:paraId="1E37B9C2" w14:textId="77777777">
        <w:tc>
          <w:tcPr>
            <w:tcW w:w="4957" w:type="dxa"/>
            <w:shd w:val="clear" w:color="auto" w:fill="FFD965"/>
          </w:tcPr>
          <w:p w14:paraId="00000006" w14:textId="77777777" w:rsidR="00520C97" w:rsidRDefault="0044607C">
            <w:pPr>
              <w:rPr>
                <w:rFonts w:ascii="CIDFont+F1" w:eastAsia="CIDFont+F1" w:hAnsi="CIDFont+F1" w:cs="CIDFont+F1"/>
                <w:sz w:val="20"/>
                <w:szCs w:val="20"/>
              </w:rPr>
            </w:pPr>
            <w:r>
              <w:rPr>
                <w:rFonts w:ascii="CIDFont+F1" w:eastAsia="CIDFont+F1" w:hAnsi="CIDFont+F1" w:cs="CIDFont+F1"/>
                <w:sz w:val="20"/>
                <w:szCs w:val="20"/>
              </w:rPr>
              <w:t xml:space="preserve">Enforcement/policy </w:t>
            </w:r>
          </w:p>
        </w:tc>
      </w:tr>
      <w:tr w:rsidR="00520C97" w14:paraId="5ADE1C85" w14:textId="77777777">
        <w:tc>
          <w:tcPr>
            <w:tcW w:w="4957" w:type="dxa"/>
            <w:shd w:val="clear" w:color="auto" w:fill="8EAADB"/>
          </w:tcPr>
          <w:p w14:paraId="00000007" w14:textId="77777777" w:rsidR="00520C97" w:rsidRDefault="0044607C">
            <w:pPr>
              <w:rPr>
                <w:rFonts w:ascii="CIDFont+F1" w:eastAsia="CIDFont+F1" w:hAnsi="CIDFont+F1" w:cs="CIDFont+F1"/>
                <w:sz w:val="20"/>
                <w:szCs w:val="20"/>
              </w:rPr>
            </w:pPr>
            <w:r>
              <w:rPr>
                <w:rFonts w:ascii="CIDFont+F1" w:eastAsia="CIDFont+F1" w:hAnsi="CIDFont+F1" w:cs="CIDFont+F1"/>
                <w:sz w:val="20"/>
                <w:szCs w:val="20"/>
              </w:rPr>
              <w:t>Large infrastructure (GPTs, wetland, raingarden) 100K+</w:t>
            </w:r>
          </w:p>
        </w:tc>
      </w:tr>
      <w:tr w:rsidR="00520C97" w14:paraId="15F8FA61" w14:textId="77777777">
        <w:tc>
          <w:tcPr>
            <w:tcW w:w="4957" w:type="dxa"/>
            <w:shd w:val="clear" w:color="auto" w:fill="DEEBF6"/>
          </w:tcPr>
          <w:p w14:paraId="00000008" w14:textId="77777777" w:rsidR="00520C97" w:rsidRDefault="0044607C">
            <w:pPr>
              <w:rPr>
                <w:rFonts w:ascii="CIDFont+F1" w:eastAsia="CIDFont+F1" w:hAnsi="CIDFont+F1" w:cs="CIDFont+F1"/>
                <w:sz w:val="20"/>
                <w:szCs w:val="20"/>
              </w:rPr>
            </w:pPr>
            <w:r>
              <w:rPr>
                <w:rFonts w:ascii="CIDFont+F1" w:eastAsia="CIDFont+F1" w:hAnsi="CIDFont+F1" w:cs="CIDFont+F1"/>
                <w:sz w:val="20"/>
                <w:szCs w:val="20"/>
              </w:rPr>
              <w:t>Small infrastructure (grated side entry pits, bins) &lt;100K</w:t>
            </w:r>
          </w:p>
        </w:tc>
      </w:tr>
      <w:tr w:rsidR="00520C97" w14:paraId="0BAA0979" w14:textId="77777777">
        <w:tc>
          <w:tcPr>
            <w:tcW w:w="4957" w:type="dxa"/>
            <w:shd w:val="clear" w:color="auto" w:fill="F7CBAC"/>
          </w:tcPr>
          <w:p w14:paraId="00000009" w14:textId="77777777" w:rsidR="00520C97" w:rsidRDefault="0044607C">
            <w:pPr>
              <w:rPr>
                <w:rFonts w:ascii="CIDFont+F1" w:eastAsia="CIDFont+F1" w:hAnsi="CIDFont+F1" w:cs="CIDFont+F1"/>
                <w:sz w:val="20"/>
                <w:szCs w:val="20"/>
              </w:rPr>
            </w:pPr>
            <w:r>
              <w:rPr>
                <w:rFonts w:ascii="CIDFont+F1" w:eastAsia="CIDFont+F1" w:hAnsi="CIDFont+F1" w:cs="CIDFont+F1"/>
                <w:sz w:val="20"/>
                <w:szCs w:val="20"/>
              </w:rPr>
              <w:t xml:space="preserve">Servicing/maintenance </w:t>
            </w:r>
          </w:p>
        </w:tc>
      </w:tr>
    </w:tbl>
    <w:p w14:paraId="0000000A" w14:textId="77777777" w:rsidR="00520C97" w:rsidRDefault="00520C97">
      <w:pPr>
        <w:rPr>
          <w:sz w:val="24"/>
          <w:szCs w:val="24"/>
        </w:rPr>
      </w:pPr>
    </w:p>
    <w:p w14:paraId="0000000B" w14:textId="77777777" w:rsidR="00520C97" w:rsidRDefault="0044607C">
      <w:pPr>
        <w:rPr>
          <w:b/>
          <w:sz w:val="28"/>
          <w:szCs w:val="28"/>
        </w:rPr>
      </w:pPr>
      <w:r>
        <w:rPr>
          <w:b/>
          <w:sz w:val="28"/>
          <w:szCs w:val="28"/>
        </w:rPr>
        <w:t xml:space="preserve">Regional Litter Generation Hotspots Summary </w:t>
      </w:r>
    </w:p>
    <w:p w14:paraId="0000000C" w14:textId="77777777" w:rsidR="00520C97" w:rsidRDefault="0044607C">
      <w:pPr>
        <w:jc w:val="both"/>
        <w:rPr>
          <w:sz w:val="20"/>
          <w:szCs w:val="20"/>
        </w:rPr>
      </w:pPr>
      <w:r>
        <w:rPr>
          <w:sz w:val="20"/>
          <w:szCs w:val="20"/>
        </w:rPr>
        <w:t>**All maps and more detailed information can be found in Moonee Ponds Litter Assessment - Attachment C. Corresponding page numbers are listed.</w:t>
      </w:r>
    </w:p>
    <w:tbl>
      <w:tblPr>
        <w:tblStyle w:val="a0"/>
        <w:tblW w:w="20784" w:type="dxa"/>
        <w:tblInd w:w="137"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561"/>
        <w:gridCol w:w="1816"/>
        <w:gridCol w:w="1360"/>
        <w:gridCol w:w="5076"/>
        <w:gridCol w:w="2222"/>
        <w:gridCol w:w="2610"/>
        <w:gridCol w:w="2654"/>
        <w:gridCol w:w="2663"/>
        <w:gridCol w:w="1822"/>
      </w:tblGrid>
      <w:tr w:rsidR="00520C97" w14:paraId="153A1D35" w14:textId="77777777">
        <w:tc>
          <w:tcPr>
            <w:tcW w:w="20784" w:type="dxa"/>
            <w:gridSpan w:val="9"/>
          </w:tcPr>
          <w:p w14:paraId="0000000D" w14:textId="77777777" w:rsidR="00520C97" w:rsidRDefault="0044607C">
            <w:pPr>
              <w:rPr>
                <w:b/>
              </w:rPr>
            </w:pPr>
            <w:r>
              <w:rPr>
                <w:b/>
              </w:rPr>
              <w:t>Regional Litter Generation hot spots</w:t>
            </w:r>
          </w:p>
        </w:tc>
      </w:tr>
      <w:tr w:rsidR="00520C97" w14:paraId="717F4135" w14:textId="77777777">
        <w:tc>
          <w:tcPr>
            <w:tcW w:w="561" w:type="dxa"/>
          </w:tcPr>
          <w:p w14:paraId="00000016" w14:textId="77777777" w:rsidR="00520C97" w:rsidRDefault="0044607C">
            <w:pPr>
              <w:rPr>
                <w:b/>
              </w:rPr>
            </w:pPr>
            <w:r>
              <w:rPr>
                <w:b/>
              </w:rPr>
              <w:t>#</w:t>
            </w:r>
          </w:p>
        </w:tc>
        <w:tc>
          <w:tcPr>
            <w:tcW w:w="1816" w:type="dxa"/>
          </w:tcPr>
          <w:p w14:paraId="00000017" w14:textId="77777777" w:rsidR="00520C97" w:rsidRDefault="0044607C">
            <w:pPr>
              <w:rPr>
                <w:b/>
              </w:rPr>
            </w:pPr>
            <w:r>
              <w:rPr>
                <w:b/>
              </w:rPr>
              <w:t>Name</w:t>
            </w:r>
          </w:p>
          <w:p w14:paraId="00000018" w14:textId="77777777" w:rsidR="00520C97" w:rsidRDefault="0044607C">
            <w:pPr>
              <w:rPr>
                <w:b/>
              </w:rPr>
            </w:pPr>
            <w:r>
              <w:rPr>
                <w:b/>
              </w:rPr>
              <w:t>(pg ref)</w:t>
            </w:r>
          </w:p>
        </w:tc>
        <w:tc>
          <w:tcPr>
            <w:tcW w:w="1360" w:type="dxa"/>
          </w:tcPr>
          <w:p w14:paraId="00000019" w14:textId="77777777" w:rsidR="00520C97" w:rsidRDefault="0044607C">
            <w:pPr>
              <w:rPr>
                <w:b/>
              </w:rPr>
            </w:pPr>
            <w:r>
              <w:rPr>
                <w:b/>
              </w:rPr>
              <w:t>Municipality</w:t>
            </w:r>
          </w:p>
        </w:tc>
        <w:tc>
          <w:tcPr>
            <w:tcW w:w="5076" w:type="dxa"/>
          </w:tcPr>
          <w:p w14:paraId="0000001A" w14:textId="77777777" w:rsidR="00520C97" w:rsidRDefault="00520C97">
            <w:pPr>
              <w:rPr>
                <w:b/>
              </w:rPr>
            </w:pPr>
          </w:p>
        </w:tc>
        <w:tc>
          <w:tcPr>
            <w:tcW w:w="2222" w:type="dxa"/>
          </w:tcPr>
          <w:p w14:paraId="0000001B" w14:textId="77777777" w:rsidR="00520C97" w:rsidRDefault="0044607C">
            <w:pPr>
              <w:rPr>
                <w:b/>
              </w:rPr>
            </w:pPr>
            <w:r>
              <w:rPr>
                <w:b/>
              </w:rPr>
              <w:t xml:space="preserve">Constraints/issues with the hotspot </w:t>
            </w:r>
          </w:p>
        </w:tc>
        <w:tc>
          <w:tcPr>
            <w:tcW w:w="2610" w:type="dxa"/>
          </w:tcPr>
          <w:p w14:paraId="0000001C" w14:textId="77777777" w:rsidR="00520C97" w:rsidRDefault="0044607C">
            <w:pPr>
              <w:rPr>
                <w:b/>
              </w:rPr>
            </w:pPr>
            <w:r>
              <w:rPr>
                <w:b/>
              </w:rPr>
              <w:t>Current projects</w:t>
            </w:r>
          </w:p>
        </w:tc>
        <w:tc>
          <w:tcPr>
            <w:tcW w:w="2654" w:type="dxa"/>
          </w:tcPr>
          <w:p w14:paraId="0000001D" w14:textId="77777777" w:rsidR="00520C97" w:rsidRDefault="0044607C">
            <w:pPr>
              <w:rPr>
                <w:b/>
              </w:rPr>
            </w:pPr>
            <w:r>
              <w:rPr>
                <w:b/>
              </w:rPr>
              <w:t>Proposed projects (budgeted)</w:t>
            </w:r>
          </w:p>
        </w:tc>
        <w:tc>
          <w:tcPr>
            <w:tcW w:w="2663" w:type="dxa"/>
          </w:tcPr>
          <w:p w14:paraId="0000001E" w14:textId="77777777" w:rsidR="00520C97" w:rsidRDefault="0044607C">
            <w:pPr>
              <w:rPr>
                <w:b/>
              </w:rPr>
            </w:pPr>
            <w:r>
              <w:rPr>
                <w:b/>
              </w:rPr>
              <w:t>Desired/potential projects</w:t>
            </w:r>
          </w:p>
          <w:p w14:paraId="0000001F" w14:textId="77777777" w:rsidR="00520C97" w:rsidRDefault="0044607C">
            <w:pPr>
              <w:rPr>
                <w:b/>
              </w:rPr>
            </w:pPr>
            <w:r>
              <w:rPr>
                <w:b/>
              </w:rPr>
              <w:t>(if given budget)</w:t>
            </w:r>
          </w:p>
        </w:tc>
        <w:tc>
          <w:tcPr>
            <w:tcW w:w="1822" w:type="dxa"/>
          </w:tcPr>
          <w:p w14:paraId="00000020" w14:textId="77777777" w:rsidR="00520C97" w:rsidRDefault="0044607C">
            <w:pPr>
              <w:rPr>
                <w:b/>
              </w:rPr>
            </w:pPr>
            <w:r>
              <w:rPr>
                <w:b/>
              </w:rPr>
              <w:t>Who</w:t>
            </w:r>
          </w:p>
          <w:p w14:paraId="00000021" w14:textId="77777777" w:rsidR="00520C97" w:rsidRDefault="0044607C">
            <w:pPr>
              <w:rPr>
                <w:b/>
              </w:rPr>
            </w:pPr>
            <w:r>
              <w:rPr>
                <w:b/>
              </w:rPr>
              <w:t>(support)</w:t>
            </w:r>
          </w:p>
        </w:tc>
      </w:tr>
      <w:tr w:rsidR="00520C97" w14:paraId="39F58EFB" w14:textId="77777777">
        <w:tc>
          <w:tcPr>
            <w:tcW w:w="561" w:type="dxa"/>
          </w:tcPr>
          <w:p w14:paraId="00000022" w14:textId="77777777" w:rsidR="00520C97" w:rsidRDefault="0044607C">
            <w:pPr>
              <w:rPr>
                <w:b/>
              </w:rPr>
            </w:pPr>
            <w:r>
              <w:rPr>
                <w:b/>
              </w:rPr>
              <w:t>1</w:t>
            </w:r>
          </w:p>
        </w:tc>
        <w:tc>
          <w:tcPr>
            <w:tcW w:w="1816" w:type="dxa"/>
          </w:tcPr>
          <w:p w14:paraId="00000023" w14:textId="77777777" w:rsidR="00520C97" w:rsidRDefault="0044607C">
            <w:r>
              <w:t>Roxburgh Park train station and shopping centre pg.34</w:t>
            </w:r>
          </w:p>
          <w:p w14:paraId="00000024" w14:textId="77777777" w:rsidR="00520C97" w:rsidRDefault="00520C97"/>
        </w:tc>
        <w:tc>
          <w:tcPr>
            <w:tcW w:w="1360" w:type="dxa"/>
          </w:tcPr>
          <w:p w14:paraId="00000025" w14:textId="77777777" w:rsidR="00520C97" w:rsidRDefault="0044607C">
            <w:r>
              <w:t>Hume</w:t>
            </w:r>
          </w:p>
        </w:tc>
        <w:tc>
          <w:tcPr>
            <w:tcW w:w="5076" w:type="dxa"/>
          </w:tcPr>
          <w:p w14:paraId="00000026" w14:textId="77777777" w:rsidR="00520C97" w:rsidRDefault="0044607C">
            <w:r>
              <w:t>High level of activities at Roxburgh Park train station and surrounding commercial areas. There are two main underground drainage pipes that connect this high priority litter generation hotspot into MPC. The first pipe runs along Shankland Boulevard and into Shankland wetland where we first received litter complaints at Accumulation hotspot A (visual impacts). It then flows into Yuroke Creek. The second underground pipe starts from the Otway Crescent Retarding Basin close to the train station and runs across Broadmeadows Valley Park via Otway Crescent Drain (Council identified Otway Crescent Drain as a hotpot). Three more litter complaints recorded at downstream of Yuroke Creek after Otway Crescent Drain meets Yuroke Creek (Accumulation Hotspot B).</w:t>
            </w:r>
          </w:p>
          <w:p w14:paraId="00000027" w14:textId="77777777" w:rsidR="00520C97" w:rsidRDefault="00520C97">
            <w:pPr>
              <w:jc w:val="both"/>
            </w:pPr>
          </w:p>
        </w:tc>
        <w:tc>
          <w:tcPr>
            <w:tcW w:w="2222" w:type="dxa"/>
          </w:tcPr>
          <w:p w14:paraId="00000028" w14:textId="59BF0F1C" w:rsidR="00520C97" w:rsidRPr="00031561" w:rsidRDefault="00031561">
            <w:pPr>
              <w:rPr>
                <w:b/>
              </w:rPr>
            </w:pPr>
            <w:r w:rsidRPr="00031561">
              <w:rPr>
                <w:b/>
              </w:rPr>
              <w:t>Multiple owners of land.</w:t>
            </w:r>
          </w:p>
        </w:tc>
        <w:tc>
          <w:tcPr>
            <w:tcW w:w="2610" w:type="dxa"/>
          </w:tcPr>
          <w:p w14:paraId="00000029" w14:textId="0AF1B9C2" w:rsidR="00520C97" w:rsidRDefault="00031561">
            <w:pPr>
              <w:rPr>
                <w:b/>
              </w:rPr>
            </w:pPr>
            <w:r>
              <w:rPr>
                <w:b/>
              </w:rPr>
              <w:t>Council cleans waterway/pond between Somerton Road and Shopping Centre (west of rail line on a reactive basis.</w:t>
            </w:r>
          </w:p>
        </w:tc>
        <w:tc>
          <w:tcPr>
            <w:tcW w:w="2654" w:type="dxa"/>
          </w:tcPr>
          <w:p w14:paraId="0000002A" w14:textId="221EDBB6" w:rsidR="00520C97" w:rsidRDefault="00031561">
            <w:pPr>
              <w:rPr>
                <w:b/>
              </w:rPr>
            </w:pPr>
            <w:r>
              <w:rPr>
                <w:b/>
              </w:rPr>
              <w:t>Nil budget. Council works costed from recurrent budget.</w:t>
            </w:r>
          </w:p>
        </w:tc>
        <w:tc>
          <w:tcPr>
            <w:tcW w:w="2663" w:type="dxa"/>
          </w:tcPr>
          <w:p w14:paraId="0000002B" w14:textId="79857604" w:rsidR="00520C97" w:rsidRDefault="00031561">
            <w:pPr>
              <w:rPr>
                <w:b/>
              </w:rPr>
            </w:pPr>
            <w:r>
              <w:rPr>
                <w:b/>
              </w:rPr>
              <w:t>Specific waterways cleansing budget to be allocated and cleansing contract developed.</w:t>
            </w:r>
          </w:p>
        </w:tc>
        <w:tc>
          <w:tcPr>
            <w:tcW w:w="1822" w:type="dxa"/>
          </w:tcPr>
          <w:p w14:paraId="0000002C" w14:textId="3826A04B" w:rsidR="00520C97" w:rsidRDefault="00031561">
            <w:pPr>
              <w:rPr>
                <w:b/>
              </w:rPr>
            </w:pPr>
            <w:r>
              <w:rPr>
                <w:b/>
              </w:rPr>
              <w:t>Council for Council owned assets.</w:t>
            </w:r>
          </w:p>
        </w:tc>
      </w:tr>
      <w:tr w:rsidR="00520C97" w14:paraId="1C7B0F6C" w14:textId="77777777">
        <w:tc>
          <w:tcPr>
            <w:tcW w:w="561" w:type="dxa"/>
          </w:tcPr>
          <w:p w14:paraId="0000002D" w14:textId="77777777" w:rsidR="00520C97" w:rsidRDefault="0044607C">
            <w:pPr>
              <w:rPr>
                <w:b/>
              </w:rPr>
            </w:pPr>
            <w:r>
              <w:rPr>
                <w:b/>
              </w:rPr>
              <w:t>2</w:t>
            </w:r>
          </w:p>
        </w:tc>
        <w:tc>
          <w:tcPr>
            <w:tcW w:w="1816" w:type="dxa"/>
          </w:tcPr>
          <w:p w14:paraId="0000002E" w14:textId="77777777" w:rsidR="00520C97" w:rsidRDefault="0044607C">
            <w:r>
              <w:t>Broadmeadows shopping precinct and train station (pg. 35)</w:t>
            </w:r>
          </w:p>
        </w:tc>
        <w:tc>
          <w:tcPr>
            <w:tcW w:w="1360" w:type="dxa"/>
          </w:tcPr>
          <w:p w14:paraId="0000002F" w14:textId="77777777" w:rsidR="00520C97" w:rsidRDefault="0044607C">
            <w:r>
              <w:t>Hume</w:t>
            </w:r>
          </w:p>
        </w:tc>
        <w:tc>
          <w:tcPr>
            <w:tcW w:w="5076" w:type="dxa"/>
          </w:tcPr>
          <w:p w14:paraId="00000030" w14:textId="77777777" w:rsidR="00520C97" w:rsidRDefault="0044607C">
            <w:r>
              <w:t>High level of activities at Broadmeadows activity centre with large train station. There is one main underground pipe that originates from Railway Cres (in the middle of Broadmeadows activity centre) and connects to an open concrete channel west of Ripplebrook Drive for 200m before meeting Yuroke Creek. There were two community complaints about 200m DS of confluence of the open channel and Yuroke Creek (Accumulation hotspot A).</w:t>
            </w:r>
          </w:p>
          <w:p w14:paraId="00000031" w14:textId="77777777" w:rsidR="00520C97" w:rsidRDefault="00520C97">
            <w:pPr>
              <w:jc w:val="both"/>
            </w:pPr>
          </w:p>
        </w:tc>
        <w:tc>
          <w:tcPr>
            <w:tcW w:w="2222" w:type="dxa"/>
          </w:tcPr>
          <w:p w14:paraId="2EAFAAF3" w14:textId="36C3F164" w:rsidR="00520C97" w:rsidRDefault="00031561">
            <w:pPr>
              <w:rPr>
                <w:b/>
              </w:rPr>
            </w:pPr>
            <w:r>
              <w:rPr>
                <w:b/>
              </w:rPr>
              <w:t>Broadmeadows Shopping Centre and Broadmeadows Railway Station are both privately owned.</w:t>
            </w:r>
          </w:p>
          <w:p w14:paraId="767B4CBD" w14:textId="77777777" w:rsidR="00031561" w:rsidRDefault="00031561">
            <w:pPr>
              <w:rPr>
                <w:b/>
              </w:rPr>
            </w:pPr>
          </w:p>
          <w:p w14:paraId="00000032" w14:textId="243DEB5E" w:rsidR="00031561" w:rsidRDefault="00031561">
            <w:pPr>
              <w:rPr>
                <w:b/>
              </w:rPr>
            </w:pPr>
          </w:p>
        </w:tc>
        <w:tc>
          <w:tcPr>
            <w:tcW w:w="2610" w:type="dxa"/>
          </w:tcPr>
          <w:p w14:paraId="00000033" w14:textId="1FE7FBDB" w:rsidR="00520C97" w:rsidRDefault="00031561">
            <w:pPr>
              <w:rPr>
                <w:b/>
              </w:rPr>
            </w:pPr>
            <w:r>
              <w:rPr>
                <w:b/>
              </w:rPr>
              <w:t>Council maintains litter bin infrastructure and empties bin in the bus transit area adjacent to railway building on Pascoe Vale Road.</w:t>
            </w:r>
          </w:p>
        </w:tc>
        <w:tc>
          <w:tcPr>
            <w:tcW w:w="2654" w:type="dxa"/>
          </w:tcPr>
          <w:p w14:paraId="00000034" w14:textId="598D2C5C" w:rsidR="00520C97" w:rsidRDefault="00031561">
            <w:pPr>
              <w:rPr>
                <w:b/>
              </w:rPr>
            </w:pPr>
            <w:r>
              <w:rPr>
                <w:b/>
              </w:rPr>
              <w:t>Nil</w:t>
            </w:r>
          </w:p>
        </w:tc>
        <w:tc>
          <w:tcPr>
            <w:tcW w:w="2663" w:type="dxa"/>
          </w:tcPr>
          <w:p w14:paraId="00000035" w14:textId="7CB6D78D" w:rsidR="00520C97" w:rsidRDefault="00031561">
            <w:pPr>
              <w:rPr>
                <w:b/>
              </w:rPr>
            </w:pPr>
            <w:r>
              <w:rPr>
                <w:b/>
              </w:rPr>
              <w:t>Nil</w:t>
            </w:r>
          </w:p>
        </w:tc>
        <w:tc>
          <w:tcPr>
            <w:tcW w:w="1822" w:type="dxa"/>
          </w:tcPr>
          <w:p w14:paraId="00000036" w14:textId="62A1EAB6" w:rsidR="00520C97" w:rsidRDefault="00031561">
            <w:pPr>
              <w:rPr>
                <w:b/>
              </w:rPr>
            </w:pPr>
            <w:r>
              <w:rPr>
                <w:b/>
              </w:rPr>
              <w:t>Nil</w:t>
            </w:r>
          </w:p>
        </w:tc>
      </w:tr>
      <w:tr w:rsidR="00520C97" w14:paraId="380B6CB7" w14:textId="77777777">
        <w:tc>
          <w:tcPr>
            <w:tcW w:w="561" w:type="dxa"/>
          </w:tcPr>
          <w:p w14:paraId="00000037" w14:textId="77777777" w:rsidR="00520C97" w:rsidRDefault="0044607C">
            <w:r>
              <w:t>19</w:t>
            </w:r>
          </w:p>
        </w:tc>
        <w:tc>
          <w:tcPr>
            <w:tcW w:w="1816" w:type="dxa"/>
          </w:tcPr>
          <w:p w14:paraId="00000038" w14:textId="77777777" w:rsidR="00520C97" w:rsidRDefault="0044607C">
            <w:r>
              <w:t>Mickleham Road airport waiting areas pg. 36</w:t>
            </w:r>
          </w:p>
          <w:p w14:paraId="00000039" w14:textId="77777777" w:rsidR="00520C97" w:rsidRDefault="00520C97"/>
        </w:tc>
        <w:tc>
          <w:tcPr>
            <w:tcW w:w="1360" w:type="dxa"/>
          </w:tcPr>
          <w:p w14:paraId="0000003A" w14:textId="77777777" w:rsidR="00520C97" w:rsidRDefault="0044607C">
            <w:r>
              <w:t>Hume</w:t>
            </w:r>
          </w:p>
        </w:tc>
        <w:tc>
          <w:tcPr>
            <w:tcW w:w="5076" w:type="dxa"/>
          </w:tcPr>
          <w:p w14:paraId="0000003B" w14:textId="77777777" w:rsidR="00520C97" w:rsidRDefault="0044607C">
            <w:r>
              <w:t xml:space="preserve">Commercial hub with major transport hub (e.g. people waiting to collect from airport). High level of takeaway outlets and activities near the airport. Suspect high litter will be generated from this area </w:t>
            </w:r>
            <w:r>
              <w:lastRenderedPageBreak/>
              <w:t>with previous observations at site. North of the hotspot is the Booths Street Retarding Basin and there is an underground pipe that directly feeds into Moonee Ponds Creek. Several community complaints downstream of this hotspot (downstream of Westmeadows IGA and Turner street).</w:t>
            </w:r>
          </w:p>
          <w:p w14:paraId="0000003C" w14:textId="77777777" w:rsidR="00520C97" w:rsidRDefault="00520C97"/>
        </w:tc>
        <w:tc>
          <w:tcPr>
            <w:tcW w:w="2222" w:type="dxa"/>
          </w:tcPr>
          <w:p w14:paraId="0000003D" w14:textId="56C19C21" w:rsidR="00520C97" w:rsidRDefault="00031561">
            <w:pPr>
              <w:rPr>
                <w:b/>
              </w:rPr>
            </w:pPr>
            <w:r>
              <w:rPr>
                <w:b/>
              </w:rPr>
              <w:lastRenderedPageBreak/>
              <w:t xml:space="preserve">Mickleham Road is a </w:t>
            </w:r>
            <w:r w:rsidR="004423E8">
              <w:rPr>
                <w:b/>
              </w:rPr>
              <w:t>VicRoads Road.</w:t>
            </w:r>
          </w:p>
        </w:tc>
        <w:tc>
          <w:tcPr>
            <w:tcW w:w="2610" w:type="dxa"/>
          </w:tcPr>
          <w:p w14:paraId="0000003E" w14:textId="38EEF797" w:rsidR="00520C97" w:rsidRDefault="004423E8">
            <w:pPr>
              <w:rPr>
                <w:b/>
              </w:rPr>
            </w:pPr>
            <w:r>
              <w:rPr>
                <w:b/>
              </w:rPr>
              <w:t>Street cleansing and litter bin maintenance in local roads is Council’s responsibility.</w:t>
            </w:r>
          </w:p>
        </w:tc>
        <w:tc>
          <w:tcPr>
            <w:tcW w:w="2654" w:type="dxa"/>
          </w:tcPr>
          <w:p w14:paraId="0000003F" w14:textId="4A644C34" w:rsidR="00520C97" w:rsidRDefault="004423E8">
            <w:pPr>
              <w:rPr>
                <w:b/>
              </w:rPr>
            </w:pPr>
            <w:r>
              <w:rPr>
                <w:b/>
              </w:rPr>
              <w:t>All Council works are costed from recurrent budget.</w:t>
            </w:r>
          </w:p>
        </w:tc>
        <w:tc>
          <w:tcPr>
            <w:tcW w:w="2663" w:type="dxa"/>
          </w:tcPr>
          <w:p w14:paraId="00000040" w14:textId="56D9C4D9" w:rsidR="00520C97" w:rsidRDefault="004423E8">
            <w:pPr>
              <w:rPr>
                <w:b/>
              </w:rPr>
            </w:pPr>
            <w:r>
              <w:rPr>
                <w:b/>
              </w:rPr>
              <w:t>Nil</w:t>
            </w:r>
          </w:p>
        </w:tc>
        <w:tc>
          <w:tcPr>
            <w:tcW w:w="1822" w:type="dxa"/>
          </w:tcPr>
          <w:p w14:paraId="00000041" w14:textId="55C7D3BB" w:rsidR="00520C97" w:rsidRDefault="004423E8">
            <w:pPr>
              <w:rPr>
                <w:b/>
              </w:rPr>
            </w:pPr>
            <w:r>
              <w:rPr>
                <w:b/>
              </w:rPr>
              <w:t>Nil</w:t>
            </w:r>
          </w:p>
        </w:tc>
      </w:tr>
    </w:tbl>
    <w:p w14:paraId="00000042" w14:textId="77777777" w:rsidR="00520C97" w:rsidRDefault="00520C97">
      <w:pPr>
        <w:spacing w:after="0" w:line="240" w:lineRule="auto"/>
        <w:ind w:left="720"/>
        <w:rPr>
          <w:b/>
        </w:rPr>
      </w:pPr>
    </w:p>
    <w:p w14:paraId="00000043" w14:textId="77777777" w:rsidR="00520C97" w:rsidRDefault="00520C97">
      <w:pPr>
        <w:rPr>
          <w:b/>
          <w:sz w:val="28"/>
          <w:szCs w:val="28"/>
        </w:rPr>
      </w:pPr>
      <w:bookmarkStart w:id="0" w:name="_gjdgxs" w:colFirst="0" w:colLast="0"/>
      <w:bookmarkEnd w:id="0"/>
    </w:p>
    <w:p w14:paraId="00000044" w14:textId="77777777" w:rsidR="00520C97" w:rsidRDefault="0044607C">
      <w:pPr>
        <w:rPr>
          <w:b/>
          <w:sz w:val="28"/>
          <w:szCs w:val="28"/>
        </w:rPr>
      </w:pPr>
      <w:bookmarkStart w:id="1" w:name="_c8i3hpppd9c7" w:colFirst="0" w:colLast="0"/>
      <w:bookmarkEnd w:id="1"/>
      <w:r>
        <w:rPr>
          <w:b/>
          <w:sz w:val="28"/>
          <w:szCs w:val="28"/>
        </w:rPr>
        <w:t>Local Litter Generation Hotspots</w:t>
      </w:r>
    </w:p>
    <w:p w14:paraId="00000045" w14:textId="77777777" w:rsidR="00520C97" w:rsidRDefault="0044607C">
      <w:pPr>
        <w:jc w:val="both"/>
        <w:rPr>
          <w:sz w:val="20"/>
          <w:szCs w:val="20"/>
        </w:rPr>
      </w:pPr>
      <w:r>
        <w:rPr>
          <w:sz w:val="20"/>
          <w:szCs w:val="20"/>
        </w:rPr>
        <w:t>**All maps and more detailed information can be found in Moonee Ponds Litter Assessment - Attachment C. Corresponding page numbers are listed.</w:t>
      </w:r>
    </w:p>
    <w:tbl>
      <w:tblPr>
        <w:tblStyle w:val="a1"/>
        <w:tblW w:w="20925" w:type="dxa"/>
        <w:tblInd w:w="-5"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565"/>
        <w:gridCol w:w="1855"/>
        <w:gridCol w:w="1417"/>
        <w:gridCol w:w="5056"/>
        <w:gridCol w:w="2282"/>
        <w:gridCol w:w="2683"/>
        <w:gridCol w:w="2684"/>
        <w:gridCol w:w="2686"/>
        <w:gridCol w:w="1697"/>
      </w:tblGrid>
      <w:tr w:rsidR="00520C97" w14:paraId="29567116" w14:textId="77777777">
        <w:tc>
          <w:tcPr>
            <w:tcW w:w="20926" w:type="dxa"/>
            <w:gridSpan w:val="9"/>
          </w:tcPr>
          <w:p w14:paraId="00000046" w14:textId="77777777" w:rsidR="00520C97" w:rsidRDefault="0044607C">
            <w:pPr>
              <w:rPr>
                <w:b/>
              </w:rPr>
            </w:pPr>
            <w:r>
              <w:rPr>
                <w:b/>
              </w:rPr>
              <w:t>Local Litter Generation Hotspots</w:t>
            </w:r>
          </w:p>
        </w:tc>
      </w:tr>
      <w:tr w:rsidR="00520C97" w14:paraId="743D3334" w14:textId="77777777">
        <w:tc>
          <w:tcPr>
            <w:tcW w:w="566" w:type="dxa"/>
          </w:tcPr>
          <w:p w14:paraId="0000004F" w14:textId="77777777" w:rsidR="00520C97" w:rsidRDefault="0044607C">
            <w:pPr>
              <w:rPr>
                <w:b/>
              </w:rPr>
            </w:pPr>
            <w:r>
              <w:rPr>
                <w:b/>
              </w:rPr>
              <w:t>#</w:t>
            </w:r>
          </w:p>
        </w:tc>
        <w:tc>
          <w:tcPr>
            <w:tcW w:w="1855" w:type="dxa"/>
          </w:tcPr>
          <w:p w14:paraId="00000050" w14:textId="77777777" w:rsidR="00520C97" w:rsidRDefault="0044607C">
            <w:pPr>
              <w:rPr>
                <w:b/>
              </w:rPr>
            </w:pPr>
            <w:r>
              <w:rPr>
                <w:b/>
              </w:rPr>
              <w:t>Name</w:t>
            </w:r>
          </w:p>
          <w:p w14:paraId="00000051" w14:textId="77777777" w:rsidR="00520C97" w:rsidRDefault="0044607C">
            <w:pPr>
              <w:rPr>
                <w:b/>
              </w:rPr>
            </w:pPr>
            <w:r>
              <w:rPr>
                <w:b/>
              </w:rPr>
              <w:t>(pg ref)</w:t>
            </w:r>
          </w:p>
        </w:tc>
        <w:tc>
          <w:tcPr>
            <w:tcW w:w="1417" w:type="dxa"/>
          </w:tcPr>
          <w:p w14:paraId="00000052" w14:textId="77777777" w:rsidR="00520C97" w:rsidRDefault="0044607C">
            <w:pPr>
              <w:rPr>
                <w:b/>
              </w:rPr>
            </w:pPr>
            <w:r>
              <w:rPr>
                <w:b/>
              </w:rPr>
              <w:t>Municipality</w:t>
            </w:r>
          </w:p>
        </w:tc>
        <w:tc>
          <w:tcPr>
            <w:tcW w:w="5056" w:type="dxa"/>
          </w:tcPr>
          <w:p w14:paraId="00000053" w14:textId="77777777" w:rsidR="00520C97" w:rsidRDefault="00520C97">
            <w:pPr>
              <w:rPr>
                <w:b/>
              </w:rPr>
            </w:pPr>
          </w:p>
        </w:tc>
        <w:tc>
          <w:tcPr>
            <w:tcW w:w="2282" w:type="dxa"/>
          </w:tcPr>
          <w:p w14:paraId="00000054" w14:textId="77777777" w:rsidR="00520C97" w:rsidRDefault="0044607C">
            <w:pPr>
              <w:rPr>
                <w:b/>
              </w:rPr>
            </w:pPr>
            <w:r>
              <w:rPr>
                <w:b/>
              </w:rPr>
              <w:t xml:space="preserve">Constraints/issues with the hotspot </w:t>
            </w:r>
          </w:p>
        </w:tc>
        <w:tc>
          <w:tcPr>
            <w:tcW w:w="2683" w:type="dxa"/>
          </w:tcPr>
          <w:p w14:paraId="00000055" w14:textId="77777777" w:rsidR="00520C97" w:rsidRDefault="0044607C">
            <w:pPr>
              <w:rPr>
                <w:b/>
              </w:rPr>
            </w:pPr>
            <w:r>
              <w:rPr>
                <w:b/>
              </w:rPr>
              <w:t>Current projects</w:t>
            </w:r>
          </w:p>
        </w:tc>
        <w:tc>
          <w:tcPr>
            <w:tcW w:w="2684" w:type="dxa"/>
          </w:tcPr>
          <w:p w14:paraId="00000056" w14:textId="77777777" w:rsidR="00520C97" w:rsidRDefault="0044607C">
            <w:pPr>
              <w:rPr>
                <w:b/>
              </w:rPr>
            </w:pPr>
            <w:r>
              <w:rPr>
                <w:b/>
              </w:rPr>
              <w:t>Proposed projects (budgeted)</w:t>
            </w:r>
          </w:p>
        </w:tc>
        <w:tc>
          <w:tcPr>
            <w:tcW w:w="2686" w:type="dxa"/>
          </w:tcPr>
          <w:p w14:paraId="00000057" w14:textId="77777777" w:rsidR="00520C97" w:rsidRDefault="0044607C">
            <w:pPr>
              <w:rPr>
                <w:b/>
              </w:rPr>
            </w:pPr>
            <w:r>
              <w:rPr>
                <w:b/>
              </w:rPr>
              <w:t>Desired/potential projects</w:t>
            </w:r>
          </w:p>
          <w:p w14:paraId="00000058" w14:textId="77777777" w:rsidR="00520C97" w:rsidRDefault="0044607C">
            <w:pPr>
              <w:rPr>
                <w:b/>
              </w:rPr>
            </w:pPr>
            <w:r>
              <w:rPr>
                <w:b/>
              </w:rPr>
              <w:t>(if given budget)</w:t>
            </w:r>
          </w:p>
        </w:tc>
        <w:tc>
          <w:tcPr>
            <w:tcW w:w="1697" w:type="dxa"/>
          </w:tcPr>
          <w:p w14:paraId="00000059" w14:textId="77777777" w:rsidR="00520C97" w:rsidRDefault="0044607C">
            <w:pPr>
              <w:rPr>
                <w:b/>
              </w:rPr>
            </w:pPr>
            <w:r>
              <w:rPr>
                <w:b/>
              </w:rPr>
              <w:t>Who</w:t>
            </w:r>
          </w:p>
          <w:p w14:paraId="0000005A" w14:textId="77777777" w:rsidR="00520C97" w:rsidRDefault="0044607C">
            <w:pPr>
              <w:rPr>
                <w:b/>
              </w:rPr>
            </w:pPr>
            <w:r>
              <w:rPr>
                <w:b/>
              </w:rPr>
              <w:t>(support)</w:t>
            </w:r>
          </w:p>
        </w:tc>
      </w:tr>
      <w:tr w:rsidR="00520C97" w14:paraId="6AE24667" w14:textId="77777777">
        <w:trPr>
          <w:trHeight w:val="825"/>
        </w:trPr>
        <w:tc>
          <w:tcPr>
            <w:tcW w:w="566" w:type="dxa"/>
            <w:vMerge w:val="restart"/>
          </w:tcPr>
          <w:p w14:paraId="0000005B" w14:textId="77777777" w:rsidR="00520C97" w:rsidRDefault="0044607C">
            <w:pPr>
              <w:rPr>
                <w:b/>
              </w:rPr>
            </w:pPr>
            <w:r>
              <w:rPr>
                <w:b/>
              </w:rPr>
              <w:t>23</w:t>
            </w:r>
          </w:p>
        </w:tc>
        <w:tc>
          <w:tcPr>
            <w:tcW w:w="1855" w:type="dxa"/>
            <w:vMerge w:val="restart"/>
          </w:tcPr>
          <w:p w14:paraId="0000005C" w14:textId="77777777" w:rsidR="00520C97" w:rsidRDefault="0044607C">
            <w:pPr>
              <w:rPr>
                <w:b/>
              </w:rPr>
            </w:pPr>
            <w:r>
              <w:t>Greenvale Reservoir/Reserve and surrounds pg 37</w:t>
            </w:r>
          </w:p>
        </w:tc>
        <w:tc>
          <w:tcPr>
            <w:tcW w:w="1417" w:type="dxa"/>
            <w:vMerge w:val="restart"/>
          </w:tcPr>
          <w:p w14:paraId="0000005D" w14:textId="77777777" w:rsidR="00520C97" w:rsidRDefault="0044607C">
            <w:r>
              <w:t>Hume</w:t>
            </w:r>
          </w:p>
        </w:tc>
        <w:tc>
          <w:tcPr>
            <w:tcW w:w="5056" w:type="dxa"/>
            <w:vMerge w:val="restart"/>
          </w:tcPr>
          <w:p w14:paraId="0000005E" w14:textId="77777777" w:rsidR="00520C97" w:rsidRDefault="0044607C">
            <w:r>
              <w:t>Known hotspot identified by Council. New development occurring and intersection of Parks Victoria and Melbourne Water. Resident complaints about the amount of litter against the fence line and polystyrene spill across the area.</w:t>
            </w:r>
          </w:p>
          <w:p w14:paraId="0000005F" w14:textId="77777777" w:rsidR="00520C97" w:rsidRDefault="00520C97">
            <w:pPr>
              <w:jc w:val="both"/>
            </w:pPr>
          </w:p>
        </w:tc>
        <w:tc>
          <w:tcPr>
            <w:tcW w:w="2282" w:type="dxa"/>
          </w:tcPr>
          <w:p w14:paraId="00000060" w14:textId="77777777" w:rsidR="00520C97" w:rsidRDefault="00520C97"/>
        </w:tc>
        <w:tc>
          <w:tcPr>
            <w:tcW w:w="2683" w:type="dxa"/>
          </w:tcPr>
          <w:p w14:paraId="00000061" w14:textId="77777777" w:rsidR="00520C97" w:rsidRDefault="00520C97"/>
        </w:tc>
        <w:tc>
          <w:tcPr>
            <w:tcW w:w="2684" w:type="dxa"/>
            <w:shd w:val="clear" w:color="auto" w:fill="auto"/>
          </w:tcPr>
          <w:p w14:paraId="00000062" w14:textId="77777777" w:rsidR="00520C97" w:rsidRDefault="00520C97"/>
        </w:tc>
        <w:tc>
          <w:tcPr>
            <w:tcW w:w="2686" w:type="dxa"/>
          </w:tcPr>
          <w:p w14:paraId="00000063" w14:textId="77777777" w:rsidR="00520C97" w:rsidRDefault="00520C97">
            <w:pPr>
              <w:rPr>
                <w:b/>
              </w:rPr>
            </w:pPr>
          </w:p>
        </w:tc>
        <w:tc>
          <w:tcPr>
            <w:tcW w:w="1697" w:type="dxa"/>
          </w:tcPr>
          <w:p w14:paraId="00000064" w14:textId="77777777" w:rsidR="00520C97" w:rsidRDefault="00520C97"/>
        </w:tc>
      </w:tr>
      <w:tr w:rsidR="00520C97" w14:paraId="05B3C8A5" w14:textId="77777777">
        <w:trPr>
          <w:trHeight w:val="220"/>
        </w:trPr>
        <w:tc>
          <w:tcPr>
            <w:tcW w:w="566" w:type="dxa"/>
            <w:vMerge/>
          </w:tcPr>
          <w:p w14:paraId="00000065" w14:textId="77777777" w:rsidR="00520C97" w:rsidRDefault="00520C97">
            <w:pPr>
              <w:rPr>
                <w:b/>
              </w:rPr>
            </w:pPr>
          </w:p>
        </w:tc>
        <w:tc>
          <w:tcPr>
            <w:tcW w:w="1855" w:type="dxa"/>
            <w:vMerge/>
          </w:tcPr>
          <w:p w14:paraId="00000066" w14:textId="77777777" w:rsidR="00520C97" w:rsidRDefault="00520C97"/>
        </w:tc>
        <w:tc>
          <w:tcPr>
            <w:tcW w:w="1417" w:type="dxa"/>
            <w:vMerge/>
          </w:tcPr>
          <w:p w14:paraId="00000067" w14:textId="77777777" w:rsidR="00520C97" w:rsidRDefault="00520C97"/>
        </w:tc>
        <w:tc>
          <w:tcPr>
            <w:tcW w:w="5056" w:type="dxa"/>
            <w:vMerge/>
          </w:tcPr>
          <w:p w14:paraId="00000068" w14:textId="77777777" w:rsidR="00520C97" w:rsidRDefault="00520C97"/>
        </w:tc>
        <w:tc>
          <w:tcPr>
            <w:tcW w:w="2282" w:type="dxa"/>
          </w:tcPr>
          <w:p w14:paraId="00000069" w14:textId="77777777" w:rsidR="00520C97" w:rsidRDefault="00520C97"/>
          <w:p w14:paraId="0000006A" w14:textId="77777777" w:rsidR="00520C97" w:rsidRDefault="00520C97"/>
          <w:p w14:paraId="0000006B" w14:textId="77777777" w:rsidR="00520C97" w:rsidRDefault="00520C97"/>
        </w:tc>
        <w:tc>
          <w:tcPr>
            <w:tcW w:w="2683" w:type="dxa"/>
          </w:tcPr>
          <w:p w14:paraId="0000006C" w14:textId="77777777" w:rsidR="00520C97" w:rsidRDefault="00520C97"/>
        </w:tc>
        <w:tc>
          <w:tcPr>
            <w:tcW w:w="2684" w:type="dxa"/>
            <w:shd w:val="clear" w:color="auto" w:fill="auto"/>
          </w:tcPr>
          <w:p w14:paraId="0000006D" w14:textId="77777777" w:rsidR="00520C97" w:rsidRDefault="00520C97"/>
        </w:tc>
        <w:tc>
          <w:tcPr>
            <w:tcW w:w="2686" w:type="dxa"/>
          </w:tcPr>
          <w:p w14:paraId="0000006E" w14:textId="77777777" w:rsidR="00520C97" w:rsidRDefault="00520C97">
            <w:pPr>
              <w:rPr>
                <w:b/>
              </w:rPr>
            </w:pPr>
          </w:p>
        </w:tc>
        <w:tc>
          <w:tcPr>
            <w:tcW w:w="1697" w:type="dxa"/>
          </w:tcPr>
          <w:p w14:paraId="0000006F" w14:textId="77777777" w:rsidR="00520C97" w:rsidRDefault="00520C97"/>
        </w:tc>
      </w:tr>
      <w:tr w:rsidR="00520C97" w14:paraId="5D2512B8" w14:textId="77777777">
        <w:trPr>
          <w:trHeight w:val="220"/>
        </w:trPr>
        <w:tc>
          <w:tcPr>
            <w:tcW w:w="566" w:type="dxa"/>
            <w:vMerge/>
          </w:tcPr>
          <w:p w14:paraId="00000070" w14:textId="77777777" w:rsidR="00520C97" w:rsidRDefault="00520C97">
            <w:pPr>
              <w:rPr>
                <w:b/>
              </w:rPr>
            </w:pPr>
          </w:p>
        </w:tc>
        <w:tc>
          <w:tcPr>
            <w:tcW w:w="1855" w:type="dxa"/>
            <w:vMerge/>
          </w:tcPr>
          <w:p w14:paraId="00000071" w14:textId="77777777" w:rsidR="00520C97" w:rsidRDefault="00520C97"/>
        </w:tc>
        <w:tc>
          <w:tcPr>
            <w:tcW w:w="1417" w:type="dxa"/>
            <w:vMerge/>
          </w:tcPr>
          <w:p w14:paraId="00000072" w14:textId="77777777" w:rsidR="00520C97" w:rsidRDefault="00520C97"/>
        </w:tc>
        <w:tc>
          <w:tcPr>
            <w:tcW w:w="5056" w:type="dxa"/>
            <w:vMerge/>
          </w:tcPr>
          <w:p w14:paraId="00000073" w14:textId="77777777" w:rsidR="00520C97" w:rsidRDefault="00520C97"/>
        </w:tc>
        <w:tc>
          <w:tcPr>
            <w:tcW w:w="2282" w:type="dxa"/>
          </w:tcPr>
          <w:p w14:paraId="00000074" w14:textId="77777777" w:rsidR="00520C97" w:rsidRDefault="00520C97"/>
          <w:p w14:paraId="00000075" w14:textId="77777777" w:rsidR="00520C97" w:rsidRDefault="00520C97"/>
          <w:p w14:paraId="00000076" w14:textId="77777777" w:rsidR="00520C97" w:rsidRDefault="00520C97"/>
        </w:tc>
        <w:tc>
          <w:tcPr>
            <w:tcW w:w="2683" w:type="dxa"/>
          </w:tcPr>
          <w:p w14:paraId="00000077" w14:textId="77777777" w:rsidR="00520C97" w:rsidRDefault="00520C97"/>
        </w:tc>
        <w:tc>
          <w:tcPr>
            <w:tcW w:w="2684" w:type="dxa"/>
            <w:shd w:val="clear" w:color="auto" w:fill="auto"/>
          </w:tcPr>
          <w:p w14:paraId="00000078" w14:textId="77777777" w:rsidR="00520C97" w:rsidRDefault="00520C97"/>
        </w:tc>
        <w:tc>
          <w:tcPr>
            <w:tcW w:w="2686" w:type="dxa"/>
          </w:tcPr>
          <w:p w14:paraId="00000079" w14:textId="77777777" w:rsidR="00520C97" w:rsidRDefault="00520C97">
            <w:pPr>
              <w:rPr>
                <w:b/>
              </w:rPr>
            </w:pPr>
          </w:p>
        </w:tc>
        <w:tc>
          <w:tcPr>
            <w:tcW w:w="1697" w:type="dxa"/>
          </w:tcPr>
          <w:p w14:paraId="0000007A" w14:textId="77777777" w:rsidR="00520C97" w:rsidRDefault="00520C97"/>
        </w:tc>
      </w:tr>
    </w:tbl>
    <w:p w14:paraId="0000007B" w14:textId="77777777" w:rsidR="00520C97" w:rsidRDefault="00520C97">
      <w:pPr>
        <w:ind w:left="720"/>
        <w:jc w:val="both"/>
        <w:rPr>
          <w:b/>
        </w:rPr>
      </w:pPr>
    </w:p>
    <w:p w14:paraId="0000007C" w14:textId="77777777" w:rsidR="00520C97" w:rsidRDefault="00520C97">
      <w:pPr>
        <w:spacing w:after="0" w:line="240" w:lineRule="auto"/>
        <w:jc w:val="both"/>
        <w:sectPr w:rsidR="00520C97">
          <w:headerReference w:type="even" r:id="rId9"/>
          <w:headerReference w:type="default" r:id="rId10"/>
          <w:footerReference w:type="even" r:id="rId11"/>
          <w:footerReference w:type="default" r:id="rId12"/>
          <w:headerReference w:type="first" r:id="rId13"/>
          <w:footerReference w:type="first" r:id="rId14"/>
          <w:pgSz w:w="23811" w:h="16838" w:orient="landscape"/>
          <w:pgMar w:top="1440" w:right="1440" w:bottom="1440" w:left="1440" w:header="708" w:footer="708" w:gutter="0"/>
          <w:pgNumType w:start="1"/>
          <w:cols w:space="720"/>
        </w:sectPr>
      </w:pPr>
    </w:p>
    <w:p w14:paraId="0000007D" w14:textId="77777777" w:rsidR="00520C97" w:rsidRDefault="00520C97">
      <w:pPr>
        <w:spacing w:after="0" w:line="240" w:lineRule="auto"/>
        <w:jc w:val="both"/>
        <w:rPr>
          <w:b/>
        </w:rPr>
      </w:pPr>
    </w:p>
    <w:sectPr w:rsidR="00520C97">
      <w:pgSz w:w="16838" w:h="23811"/>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78789" w14:textId="77777777" w:rsidR="0044607C" w:rsidRDefault="0044607C">
      <w:pPr>
        <w:spacing w:after="0" w:line="240" w:lineRule="auto"/>
      </w:pPr>
      <w:r>
        <w:separator/>
      </w:r>
    </w:p>
  </w:endnote>
  <w:endnote w:type="continuationSeparator" w:id="0">
    <w:p w14:paraId="5089162D" w14:textId="77777777" w:rsidR="0044607C" w:rsidRDefault="00446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IDFont+F1">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1" w14:textId="77777777" w:rsidR="00520C97" w:rsidRDefault="00520C97">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3" w14:textId="56004125" w:rsidR="00520C97" w:rsidRDefault="0044607C">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31561">
      <w:rPr>
        <w:noProof/>
        <w:color w:val="000000"/>
      </w:rPr>
      <w:t>1</w:t>
    </w:r>
    <w:r>
      <w:rPr>
        <w:color w:val="000000"/>
      </w:rPr>
      <w:fldChar w:fldCharType="end"/>
    </w:r>
  </w:p>
  <w:p w14:paraId="00000084" w14:textId="77777777" w:rsidR="00520C97" w:rsidRDefault="00520C97">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2" w14:textId="77777777" w:rsidR="00520C97" w:rsidRDefault="00520C9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9BD7E" w14:textId="77777777" w:rsidR="0044607C" w:rsidRDefault="0044607C">
      <w:pPr>
        <w:spacing w:after="0" w:line="240" w:lineRule="auto"/>
      </w:pPr>
      <w:r>
        <w:separator/>
      </w:r>
    </w:p>
  </w:footnote>
  <w:footnote w:type="continuationSeparator" w:id="0">
    <w:p w14:paraId="4196BA37" w14:textId="77777777" w:rsidR="0044607C" w:rsidRDefault="00446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F" w14:textId="77777777" w:rsidR="00520C97" w:rsidRDefault="00520C97">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E" w14:textId="77777777" w:rsidR="00520C97" w:rsidRDefault="00520C97">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0" w14:textId="77777777" w:rsidR="00520C97" w:rsidRDefault="00520C97">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C97"/>
    <w:rsid w:val="00031561"/>
    <w:rsid w:val="004423E8"/>
    <w:rsid w:val="0044607C"/>
    <w:rsid w:val="00520C97"/>
    <w:rsid w:val="00C140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7C1F5"/>
  <w15:docId w15:val="{53ACD2BE-AD18-4ECC-A01A-A0193C0E3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4660F95B895547B34A5C3960D364AA" ma:contentTypeVersion="15" ma:contentTypeDescription="Create a new document." ma:contentTypeScope="" ma:versionID="f49a35a36c236cf3faa97f61d955c93b">
  <xsd:schema xmlns:xsd="http://www.w3.org/2001/XMLSchema" xmlns:xs="http://www.w3.org/2001/XMLSchema" xmlns:p="http://schemas.microsoft.com/office/2006/metadata/properties" xmlns:ns1="http://schemas.microsoft.com/sharepoint/v3" xmlns:ns2="4d4efa22-5a89-4284-9c66-6c807c37985b" xmlns:ns3="be6afa73-f11c-4d3b-8bb2-ca5f8fafd1f4" targetNamespace="http://schemas.microsoft.com/office/2006/metadata/properties" ma:root="true" ma:fieldsID="85e81d46e0f015379fadf068b5bc8e66" ns1:_="" ns2:_="" ns3:_="">
    <xsd:import namespace="http://schemas.microsoft.com/sharepoint/v3"/>
    <xsd:import namespace="4d4efa22-5a89-4284-9c66-6c807c37985b"/>
    <xsd:import namespace="be6afa73-f11c-4d3b-8bb2-ca5f8fafd1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4efa22-5a89-4284-9c66-6c807c379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6afa73-f11c-4d3b-8bb2-ca5f8fafd1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201CF3-2917-42DD-BF34-E475D4ED9BE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2C5B512-3C5B-4FDD-82FE-C89A892CCC30}">
  <ds:schemaRefs>
    <ds:schemaRef ds:uri="http://schemas.microsoft.com/sharepoint/v3/contenttype/forms"/>
  </ds:schemaRefs>
</ds:datastoreItem>
</file>

<file path=customXml/itemProps3.xml><?xml version="1.0" encoding="utf-8"?>
<ds:datastoreItem xmlns:ds="http://schemas.openxmlformats.org/officeDocument/2006/customXml" ds:itemID="{136CC32C-1638-4C34-9F43-5E7CFC0B1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4efa22-5a89-4284-9c66-6c807c37985b"/>
    <ds:schemaRef ds:uri="be6afa73-f11c-4d3b-8bb2-ca5f8fafd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Lopes</cp:lastModifiedBy>
  <cp:revision>3</cp:revision>
  <dcterms:created xsi:type="dcterms:W3CDTF">2021-08-30T22:12:00Z</dcterms:created>
  <dcterms:modified xsi:type="dcterms:W3CDTF">2021-11-20T08:54:00Z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0x010100E74660F95B895547B34A5C3960D364AA</vt:lpwstr>
  </property>
  <property fmtid="{D5CDD505-2E9C-101B-9397-08002B2CF9AE}" pid="3" name="MSIP_Label_c2bfee47-8a3f-4f85-acf6-5afe02eeb79a_Enabled">
    <vt:lpwstr>true</vt:lpwstr>
  </property>
  <property fmtid="{D5CDD505-2E9C-101B-9397-08002B2CF9AE}" pid="4" name="MSIP_Label_c2bfee47-8a3f-4f85-acf6-5afe02eeb79a_SetDate">
    <vt:lpwstr>2021-11-20T08:54:08Z</vt:lpwstr>
  </property>
  <property fmtid="{D5CDD505-2E9C-101B-9397-08002B2CF9AE}" pid="5" name="MSIP_Label_c2bfee47-8a3f-4f85-acf6-5afe02eeb79a_Method">
    <vt:lpwstr>Standard</vt:lpwstr>
  </property>
  <property fmtid="{D5CDD505-2E9C-101B-9397-08002B2CF9AE}" pid="6" name="MSIP_Label_c2bfee47-8a3f-4f85-acf6-5afe02eeb79a_Name">
    <vt:lpwstr>OFFICIAL</vt:lpwstr>
  </property>
  <property fmtid="{D5CDD505-2E9C-101B-9397-08002B2CF9AE}" pid="7" name="MSIP_Label_c2bfee47-8a3f-4f85-acf6-5afe02eeb79a_SiteId">
    <vt:lpwstr>7a493629-db1d-42d1-bc9d-b9d81f17ddf3</vt:lpwstr>
  </property>
  <property fmtid="{D5CDD505-2E9C-101B-9397-08002B2CF9AE}" pid="8" name="MSIP_Label_c2bfee47-8a3f-4f85-acf6-5afe02eeb79a_ActionId">
    <vt:lpwstr>7b0d5e24-e994-4a64-8dad-8294eb4a94aa</vt:lpwstr>
  </property>
  <property fmtid="{D5CDD505-2E9C-101B-9397-08002B2CF9AE}" pid="9" name="MSIP_Label_c2bfee47-8a3f-4f85-acf6-5afe02eeb79a_ContentBits">
    <vt:lpwstr>0</vt:lpwstr>
  </property>
</Properties>
</file>